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Клас: 11</w:t>
      </w:r>
    </w:p>
    <w:p w:rsidR="003F70FD" w:rsidRPr="003F70FD" w:rsidRDefault="003F70FD" w:rsidP="003F70FD">
      <w:pPr>
        <w:spacing w:after="225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</w:rPr>
      </w:pPr>
      <w:r w:rsidRPr="003F70FD">
        <w:rPr>
          <w:rFonts w:ascii="Tahoma" w:eastAsia="Times New Roman" w:hAnsi="Tahoma" w:cs="Tahoma"/>
          <w:color w:val="FF561B"/>
          <w:kern w:val="36"/>
          <w:sz w:val="33"/>
          <w:szCs w:val="33"/>
        </w:rPr>
        <w:t>Тема:  ЕМІГРАЦІЙНА ЛІТЕРАТУРА (ОГЛЯД). «ПРАЗЬКА ПОЕТИЧНА ШКОЛА» УКРАЇНСЬКОЇ ПОЕЗІЇ ТА  ПРЕДСТАВНИКИ</w:t>
      </w:r>
    </w:p>
    <w:p w:rsidR="003F70FD" w:rsidRPr="003F70FD" w:rsidRDefault="003F70FD" w:rsidP="003F70FD">
      <w:pPr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</w:rPr>
      </w:pPr>
      <w:r w:rsidRPr="003F70FD">
        <w:rPr>
          <w:rFonts w:ascii="Tahoma" w:eastAsia="Times New Roman" w:hAnsi="Tahoma" w:cs="Tahoma"/>
          <w:caps/>
          <w:color w:val="8BBC0A"/>
          <w:sz w:val="18"/>
          <w:szCs w:val="18"/>
        </w:rPr>
        <w:t>БОНДАРЕНКО Т. - ВЧИТЕЛЬ УКРАЇНСЬКОЇ МОВИ ТА ЛІТЕРАТУРИ КРИВОРІЗЬКОЇ СПЕЦІАЛІЗОВАНОЇ ШКОЛИ №118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Мета:             дослідити історичні умови й функціонування україн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softHyphen/>
        <w:t>ської літератури за кордоном, причини другої хвилі еміграції українців, створення «празької школи» української поезії; стисло оглянути творчість пред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softHyphen/>
        <w:t>ставників «празької школи»; розвивати навички сприймати розвиток літератури в історичному кон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softHyphen/>
        <w:t>тексті; виховувати почуття патріотизму.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Тип уроку: вивчення нового матеріалу.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Обладнання: підручник, тексти поезій, портрети представників «празької школи», виставка творів.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Хто пережив страшну операцію розриву з живим тілом Батьківщини, хто відчував пекучий брак Батьківщини, як вічно роз’ятрену рану, хто задихався в чужому повітрі, у чужому підсонні, під чужим небом…, той зрозуміє психологічний стан емігранта.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 Є. Маланюк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ПЕРЕБІГ  УРОКУ</w:t>
      </w:r>
    </w:p>
    <w:p w:rsidR="003F70FD" w:rsidRPr="003F70FD" w:rsidRDefault="003F70FD" w:rsidP="003F70FD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Оголошення теми й мети уроку</w:t>
      </w:r>
    </w:p>
    <w:p w:rsidR="003F70FD" w:rsidRPr="003F70FD" w:rsidRDefault="003F70FD" w:rsidP="003F70FD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Організаційний момент.</w:t>
      </w:r>
    </w:p>
    <w:p w:rsidR="003F70FD" w:rsidRPr="003F70FD" w:rsidRDefault="003F70FD" w:rsidP="003F70FD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Мотивація навчальної діяльності учнів</w:t>
      </w:r>
    </w:p>
    <w:p w:rsidR="003F70FD" w:rsidRPr="003F70FD" w:rsidRDefault="003F70FD" w:rsidP="003F70FD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Літературний диктант</w:t>
      </w:r>
    </w:p>
    <w:p w:rsidR="003F70FD" w:rsidRPr="003F70FD" w:rsidRDefault="003F70FD" w:rsidP="003F70FD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Перевірка  диктанту</w:t>
      </w:r>
    </w:p>
    <w:p w:rsidR="003F70FD" w:rsidRPr="003F70FD" w:rsidRDefault="003F70FD" w:rsidP="003F70FD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 Слово вчителя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1 пара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Після поразки Визвольних Змагань 1917-1921 років і падіння Української Народної Республіки в країнах Західної Європи опинилася значна кількість українців-емігрантів. Вони почали нове життя в західноєвропейських державах. Особливо активно воно розгорнулося в Чехословаччині, у Празі.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Довідкове бюро 1. 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Географічна розвідка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 1.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Прага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— </w:t>
      </w:r>
      <w:hyperlink r:id="rId5" w:tooltip="Столиця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столиця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 та найбільше місто </w:t>
      </w:r>
      <w:hyperlink r:id="rId6" w:tooltip="Чехія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Чеської Республіки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.  Прага розташована в західній частині Чехії, в історичній області </w:t>
      </w:r>
      <w:hyperlink r:id="rId7" w:tooltip="Богемія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Богемія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 2. Прага відома поетичними назвами: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місто ста веж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,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матір міст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,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Злата Прага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У Празі було засновано Український Вільний Університет і Українську студію пластичного мистецтва, у Подєбрадах – Українську сільськогосподарську академію та Український педагогічний інститут ім. М.Драгоманова. Навколо цих закладів почала гуртуватись творча українська молодь, що пізніше увійшла в історію української літератури як "</w:t>
      </w: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празька поетична школа"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. Хто ж був  її  представниками?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Яскравими представниками були: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Євген Маланюк, Юрій Клен, Олег Ольжич,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А  також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Юрій Липа, Олекса Стефанович,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та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Оксана Летушинська, Олена Теліга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Літературне життя в Празі започаткував Ю.Липа, у цьому його підтримали Ю.Дараган та Л.Мосендз. А з приїздом Є.Маланюка воно значно активізувалося й почало набувати організованих форм. Як саме вона формувалася?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lastRenderedPageBreak/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«Празька поетична школа» формувалася на межі українського та європейського світів, тобто під впливом західної культури та стимульованої ними історичної пам'яті рідного народу. На підставі цього й виникла їхня історіософічна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Яка це лірика?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Тобто, позначена мудрістю історії.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«Пражани» стали осередком формування нового типу українця. Представники цього літературного феномену гідно поповнили ряд української літературної класики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І не лише як послідовники національної традиції –героїчного епосу, козацького фольклору, а й як останні поети-воїни, для яких боротьба була поетичним натхненням.  А що можна сказати про художню мову »пражан»?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Поети-пражани заклали особливий тип художньої мови в XX столітті (історична, археологічна, релігійна, міфологічна, мілітарна лексика), що залишила глибокий слід в українській поезії.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Довідкове бюро 2.  Мілітарний  -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направлений на виправдання політики всесвітнього нарощування військової міці 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 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Слід  сказати,  що  «пражани» зазнавали впливу </w:t>
      </w:r>
      <w:hyperlink r:id="rId8" w:tooltip="Донцов Дмитро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Дмитра Донцова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  який надавав їм змогу друкуватися на сторінках своїх журналів - «Літературно-науковий вісник» та «Вісник».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Довідкове бюро 2.  Дмитро Іванович Донцов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— український </w:t>
      </w:r>
      <w:hyperlink r:id="rId9" w:tooltip="Літературний критик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літературний критик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 </w:t>
      </w:r>
      <w:hyperlink r:id="rId10" w:tooltip="Публіцист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публіцист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 філософ, </w:t>
      </w:r>
      <w:hyperlink r:id="rId11" w:tooltip="Політичний діяч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політичний діяч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 засновник теорії </w:t>
      </w:r>
      <w:hyperlink r:id="rId12" w:tooltip="Інтегральний націоналізм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інтегрального націоналізму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           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Вони поділяли його намагання сформувати новий тип українця з чіткими націо- та державотворчими настановами, з волею до життя. Одначе вони не поділяли його силового поєднання романтизму і догматизму.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            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В основу естетичної концепції «празької школи» лягли погляди </w:t>
      </w:r>
      <w:hyperlink r:id="rId13" w:tooltip="Євген Маланюк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Є. Маланюка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У ній не знімалися,  а  навпаки – підкреслювалися питання відповідальності письменника за долю нації, література визнавалась непідлегла іншим сферам духовного життя таким як політика, релігія, педагогіка.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Про підвищену увагу поетів до релігійної проблеми свідчить постійне використання ними християнських мотивів і символів.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У першу чергу, звичайно ж, ідеться про особу Ісуса Христа та моменти, пов’язані з біографією його «земного життя».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Діва Марія, Віфлеєм, цар Ірод, Назарет, дванадцять апостолів, Голгофа, воскресіння і вознесіння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Слід додати, що  також символічною для «Празької школи» є постать гетьмана Івана Мазепи. Мазепа став не просто символом хоробрості й мудрості, а перш за все тим необхідним «кодом», котрий поєднав два великих «материки» української історії: «давньоукраїнський» (Русь, Галицько-Волинська держава, козаччина) та «модерний» (символи якого – Шевченко, Франко.  Євген Маланюк називав великого гетьмана «людиною епілогу Козацької доби». А  що ж до тематики?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Щодо тематики і взагалі художнього стилю, то поети "празької школи", "розробили художню таку систему творчості, що була протиставлена сентиментальним традиціям української літератури, вони виступали проти малоросійства, вторинності вчорашнього та колоніальної покірності.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Спільні мотиви, характерні для всієї "празької школи", вперше проявилися у творчості Ю.Дарагана у його збірці "Сагайдак". Це передусім історіософія (осмислення історичного досвіду України), звернення до історичних періодів та постатей.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 </w:t>
      </w:r>
      <w:r w:rsidRPr="003F70FD">
        <w:rPr>
          <w:rFonts w:ascii="Tahoma" w:eastAsia="Times New Roman" w:hAnsi="Tahoma" w:cs="Tahoma"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Слово  вчителя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 1  Бюлетень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Редактор 1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 xml:space="preserve"> Поезія «Празької школи» мала широкий резонанс на еміграції  та  отримала численних шанувальників на Батьківщині. Поза сумнівом, представники цього літературного феномену гідно поповнили ряд української літературної класики, і не лише як послідовники національної традиції українського героїчного епосу, козацького фольклору, творчості Шевченка, Франка, Лесі Українки, мілітарних пісень Українських 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lastRenderedPageBreak/>
        <w:t>Січових Стрільців, а й як останні поети-воїни – прадавня, особлива каста людей, для яких боротьба була поетичним натхненням.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В контексті ідейно-естетичних, філософських  та  стильових шукань української літератури ХХ століття, пражани залишилися самобутніми й органічними.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За стилем поети «празької школи»– переважно неоромантики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Слово  вчителя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2 пара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Євге́н Филимо́нович Маланю́к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український </w:t>
      </w:r>
      <w:hyperlink r:id="rId14" w:tooltip="Письменник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письменник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 </w:t>
      </w:r>
      <w:hyperlink r:id="rId15" w:tooltip="Поет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поет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</w:t>
      </w:r>
      <w:hyperlink r:id="rId16" w:tooltip="Культуролог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культуролог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-</w:t>
      </w:r>
      <w:hyperlink r:id="rId17" w:tooltip="Енциклопедист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енциклопедист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 </w:t>
      </w:r>
      <w:hyperlink r:id="rId18" w:tooltip="Публіцист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публіцист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, </w:t>
      </w:r>
      <w:hyperlink r:id="rId19" w:tooltip="Літературний критик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літературний критик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. Народився 1 лютого 1897 року в </w:t>
      </w:r>
      <w:hyperlink r:id="rId20" w:tooltip="Херсонська губернія" w:history="1">
        <w:r w:rsidRPr="003F70FD">
          <w:rPr>
            <w:rFonts w:ascii="Tahoma" w:eastAsia="Times New Roman" w:hAnsi="Tahoma" w:cs="Tahoma"/>
            <w:color w:val="2788E2"/>
            <w:sz w:val="18"/>
            <w:u w:val="single"/>
          </w:rPr>
          <w:t>Херсонської губернії</w:t>
        </w:r>
      </w:hyperlink>
      <w:r w:rsidRPr="003F70FD">
        <w:rPr>
          <w:rFonts w:ascii="Tahoma" w:eastAsia="Times New Roman" w:hAnsi="Tahoma" w:cs="Tahoma"/>
          <w:color w:val="595858"/>
          <w:sz w:val="18"/>
          <w:szCs w:val="18"/>
        </w:rPr>
        <w:t>в сім’ї вчителя та доньки військовослужбовця.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У тринадцятирічному віці хлопчина починає віршувати. Навчався в політехнічному  інституті.  Після кількох літ відчайдушних битв за українську державність у жовтні 1920 р. поет-патріот потрапляє до Польщі, а згодом – до Чехословаччини.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1925 року вийшла перша збірка віршів «Стилет і стилос»,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Цією книгою, як і наступною — «Гербарій» Маланюк ствердив свої позиції поета-націєтворця,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 У збірці «Стилет і стилос» він спробував розв'язати давню проблематику світової літератури: що має бути найголовнішим у художній творчості — краса чи служіння інтересам суспільства.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учень.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У однойменному вірші «Стилет чи стилос?» автор вдається до символічного осмислення         проблеми.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Слово  вчителя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Довідкове бюро 3. </w:t>
      </w:r>
      <w:r w:rsidRPr="003F70FD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стилет — це холодна зброя, короткий кинджал з тонким тригранним клинком., стилос — загострена паличка для письма на вкритій воском дощечці.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Відповідь 1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Стилет є символом одвічного бою сам на сам, свідомого вибору жертовної боротьби за ідеали народу. А стилос — це уособлення мистецтва з його гармонією, музикою людських почуттів та магією добра й краси.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br/>
        <w:t>Виразне читання поезії «Стилет чи стилос?..».</w:t>
      </w:r>
    </w:p>
    <w:p w:rsidR="003F70FD" w:rsidRPr="003F70FD" w:rsidRDefault="003F70FD" w:rsidP="003F70FD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Бесіда за прочитаним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Питання 1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На початку вірша звучить ритторичне запитання: «Стилет чи стилос?». Чому перед поетом постав такий вибір?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(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У поезії ці предмети несуть на собі не просто пряме, значення)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Питання 2 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До якого літературного роду  належить поезія?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 (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Це лірика.)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Питання 3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 А саме яка  лірика? 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(Наявні філософські мотиви  , а також громадянські).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Питання 4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Як повів себе ліричний герой?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(Ліричний герой поезії, а з ним і сам автор, вагається, чому надати перевагу — боротьбі, дії, силі чи прекрасному, поезії. Найчастіше в житті людини, та й у природі відбувається протиборство).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Питання 5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Вкажіть провідний мотив поезії.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(Роль слова, митця в житті суспільства)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Питання 6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Яку стилістичну фігуру  використав автор?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(Мова йде про антитезу.  Прикладом цього виступають прислівники «тут»,  « там». Ситуація вибору для митця складна: герой пливе по непевній воді» тут» і його манять береги краси там Хоча тут – жаха набряклий вітром обрій усе ж героя більше зачаровує таки веселий галас бою», тож він продовжує плисти в безмежжя, яким зачарований).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i/>
          <w:iCs/>
          <w:color w:val="595858"/>
          <w:sz w:val="18"/>
        </w:rPr>
        <w:t>Питання 7 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Що спонукало  автора  взяти  в  руки  стилет?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(Одна з причин – це трагічна доля Батьківщини, також честь чоловіка, воїна, оборонця). 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lastRenderedPageBreak/>
        <w:t>     2  Бюлетень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Редактор 2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 Оригінальною виявилась естетична концепція мистецтва Маланюка Слово стає єдиною зброєю. Саме слово поет поставив на сторожі української культури        й державності. Він продовжив традицію Т.Шевченка та П.Куліша, які підкреслювали суспільну важливість поезії. А назвою першої збірки «Стилет і стилос» Євген Маланюк визначив програму свого життя 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Сучасникам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«Не треба слів! Хай буде тільки діло!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br/>
        <w:t> Його роби — спокійний і суворий,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br/>
        <w:t> Не плутай душу у горіння тіла,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br/>
        <w:t>Сховай свій біль. Зломи раптовий порив».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Питання до О. Теліги  (відеопитання)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Редактор 3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Олена Теліга загинула від рук фашистських окупантів у 35 років.  Її розстріляли у Бабиному Яру у 1942 році.  Може, тоді й збулося її кассандрівське передбачення: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br/>
        <w:t>Я палко мрію до самого рання,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br/>
        <w:t>Щоб Бог зіслав мені найбільший дар: </w:t>
      </w:r>
      <w:r w:rsidRPr="003F70FD">
        <w:rPr>
          <w:rFonts w:ascii="Tahoma" w:eastAsia="Times New Roman" w:hAnsi="Tahoma" w:cs="Tahoma"/>
          <w:color w:val="595858"/>
          <w:sz w:val="18"/>
          <w:szCs w:val="18"/>
        </w:rPr>
        <w:br/>
        <w:t>Гарячу смерть, не зимне умирання. 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Слово  вчителя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Поетеса не встигла видати жодної власної книжки, всі вони вийшли посмертно («Душа на сторожі», 1946; «Прапори духа», 1947; «На чужині», 1947; збірник «Олена Теліга», 1977);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         З метою вшанування пам'яті видатної української поетеси жіночим товариством імені О. Теліги було засновано Міжнародну літературно-мистецьку премію імені Олени Теліги.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color w:val="595858"/>
          <w:sz w:val="18"/>
          <w:szCs w:val="18"/>
        </w:rPr>
        <w:t>Пісня «Ми сміло в бій підем»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Слово  вчителя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Віртуальна  бібліотека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Підсумок</w:t>
      </w:r>
    </w:p>
    <w:p w:rsidR="003F70FD" w:rsidRPr="003F70FD" w:rsidRDefault="003F70FD" w:rsidP="003F70FD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3F70FD">
        <w:rPr>
          <w:rFonts w:ascii="Tahoma" w:eastAsia="Times New Roman" w:hAnsi="Tahoma" w:cs="Tahoma"/>
          <w:b/>
          <w:bCs/>
          <w:i/>
          <w:iCs/>
          <w:color w:val="595858"/>
          <w:sz w:val="18"/>
          <w:u w:val="single"/>
        </w:rPr>
        <w:t>Домашнє  завдання</w:t>
      </w:r>
    </w:p>
    <w:p w:rsidR="00EE7FE8" w:rsidRDefault="00EE7FE8"/>
    <w:sectPr w:rsidR="00E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DF8"/>
    <w:multiLevelType w:val="multilevel"/>
    <w:tmpl w:val="45F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5501F"/>
    <w:multiLevelType w:val="multilevel"/>
    <w:tmpl w:val="DF04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70FD"/>
    <w:rsid w:val="003F70FD"/>
    <w:rsid w:val="00E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7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70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70FD"/>
    <w:rPr>
      <w:i/>
      <w:iCs/>
    </w:rPr>
  </w:style>
  <w:style w:type="character" w:customStyle="1" w:styleId="apple-converted-space">
    <w:name w:val="apple-converted-space"/>
    <w:basedOn w:val="a0"/>
    <w:rsid w:val="003F70FD"/>
  </w:style>
  <w:style w:type="character" w:styleId="a5">
    <w:name w:val="Hyperlink"/>
    <w:basedOn w:val="a0"/>
    <w:uiPriority w:val="99"/>
    <w:semiHidden/>
    <w:unhideWhenUsed/>
    <w:rsid w:val="003F7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4%D0%BE%D0%BD%D1%86%D0%BE%D0%B2_%D0%94%D0%BC%D0%B8%D1%82%D1%80%D0%BE" TargetMode="External"/><Relationship Id="rId13" Type="http://schemas.openxmlformats.org/officeDocument/2006/relationships/hyperlink" Target="http://uk.wikipedia.org/wiki/%D0%84%D0%B2%D0%B3%D0%B5%D0%BD_%D0%9C%D0%B0%D0%BB%D0%B0%D0%BD%D1%8E%D0%BA" TargetMode="External"/><Relationship Id="rId18" Type="http://schemas.openxmlformats.org/officeDocument/2006/relationships/hyperlink" Target="http://uk.wikipedia.org/wiki/%D0%9F%D1%83%D0%B1%D0%BB%D1%96%D1%86%D0%B8%D1%81%D1%8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k.wikipedia.org/wiki/%D0%91%D0%BE%D0%B3%D0%B5%D0%BC%D1%96%D1%8F" TargetMode="External"/><Relationship Id="rId12" Type="http://schemas.openxmlformats.org/officeDocument/2006/relationships/hyperlink" Target="http://uk.wikipedia.org/wiki/%D0%86%D0%BD%D1%82%D0%B5%D0%B3%D1%80%D0%B0%D0%BB%D1%8C%D0%BD%D0%B8%D0%B9_%D0%BD%D0%B0%D1%86%D1%96%D0%BE%D0%BD%D0%B0%D0%BB%D1%96%D0%B7%D0%BC" TargetMode="External"/><Relationship Id="rId17" Type="http://schemas.openxmlformats.org/officeDocument/2006/relationships/hyperlink" Target="http://uk.wikipedia.org/wiki/%D0%95%D0%BD%D1%86%D0%B8%D0%BA%D0%BB%D0%BE%D0%BF%D0%B5%D0%B4%D0%B8%D1%81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A%D1%83%D0%BB%D1%8C%D1%82%D1%83%D1%80%D0%BE%D0%BB%D0%BE%D0%B3" TargetMode="External"/><Relationship Id="rId20" Type="http://schemas.openxmlformats.org/officeDocument/2006/relationships/hyperlink" Target="http://uk.wikipedia.org/wiki/%D0%A5%D0%B5%D1%80%D1%81%D0%BE%D0%BD%D1%81%D1%8C%D0%BA%D0%B0_%D0%B3%D1%83%D0%B1%D0%B5%D1%80%D0%BD%D1%96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7%D0%B5%D1%85%D1%96%D1%8F" TargetMode="External"/><Relationship Id="rId11" Type="http://schemas.openxmlformats.org/officeDocument/2006/relationships/hyperlink" Target="http://uk.wikipedia.org/wiki/%D0%9F%D0%BE%D0%BB%D1%96%D1%82%D0%B8%D1%87%D0%BD%D0%B8%D0%B9_%D0%B4%D1%96%D1%8F%D1%87" TargetMode="External"/><Relationship Id="rId5" Type="http://schemas.openxmlformats.org/officeDocument/2006/relationships/hyperlink" Target="http://uk.wikipedia.org/wiki/%D0%A1%D1%82%D0%BE%D0%BB%D0%B8%D1%86%D1%8F" TargetMode="External"/><Relationship Id="rId15" Type="http://schemas.openxmlformats.org/officeDocument/2006/relationships/hyperlink" Target="http://uk.wikipedia.org/wiki/%D0%9F%D0%BE%D0%B5%D1%82" TargetMode="External"/><Relationship Id="rId10" Type="http://schemas.openxmlformats.org/officeDocument/2006/relationships/hyperlink" Target="http://uk.wikipedia.org/wiki/%D0%9F%D1%83%D0%B1%D0%BB%D1%96%D1%86%D0%B8%D1%81%D1%82" TargetMode="External"/><Relationship Id="rId19" Type="http://schemas.openxmlformats.org/officeDocument/2006/relationships/hyperlink" Target="http://uk.wikipedia.org/wiki/%D0%9B%D1%96%D1%82%D0%B5%D1%80%D0%B0%D1%82%D1%83%D1%80%D0%BD%D0%B8%D0%B9_%D0%BA%D1%80%D0%B8%D1%82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B%D1%96%D1%82%D0%B5%D1%80%D0%B0%D1%82%D1%83%D1%80%D0%BD%D0%B8%D0%B9_%D0%BA%D1%80%D0%B8%D1%82%D0%B8%D0%BA" TargetMode="External"/><Relationship Id="rId14" Type="http://schemas.openxmlformats.org/officeDocument/2006/relationships/hyperlink" Target="http://uk.wikipedia.org/wiki/%D0%9F%D0%B8%D1%81%D1%8C%D0%BC%D0%B5%D0%BD%D0%BD%D0%B8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10791</Characters>
  <Application>Microsoft Office Word</Application>
  <DocSecurity>0</DocSecurity>
  <Lines>89</Lines>
  <Paragraphs>25</Paragraphs>
  <ScaleCrop>false</ScaleCrop>
  <Company>Schoool70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2015-12-02T08:16:00Z</dcterms:created>
  <dcterms:modified xsi:type="dcterms:W3CDTF">2015-12-02T08:16:00Z</dcterms:modified>
</cp:coreProperties>
</file>