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Федорченко О.О., вчитель математики КНВК № 35 «Імпульс» Впровадження особистісно-орієнтованої  технології у змі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ст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математичної освіти у профільній школі// Вісник Міжнародного дослідного центру "Людина: мова, культура, пізнання": наук.журн.: [гол.ред. О.М.Холод].- Кривий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іг:МДЦ «ЛМКП»,2015.-Том 38(1).</w:t>
      </w:r>
    </w:p>
    <w:p w:rsidR="00B8487C" w:rsidRPr="00B8487C" w:rsidRDefault="00B8487C" w:rsidP="00B8487C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</w:p>
    <w:p w:rsidR="00B8487C" w:rsidRPr="00B8487C" w:rsidRDefault="00B8487C" w:rsidP="00B8487C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О.О.ФЕДОРЧЕНКО</w:t>
      </w:r>
    </w:p>
    <w:p w:rsidR="00B8487C" w:rsidRPr="00B8487C" w:rsidRDefault="00B8487C" w:rsidP="00B8487C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(м</w:t>
      </w:r>
      <w:proofErr w:type="gramStart"/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.К</w:t>
      </w:r>
      <w:proofErr w:type="gramEnd"/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ривий Ріг,Україна)</w:t>
      </w:r>
    </w:p>
    <w:p w:rsidR="00B8487C" w:rsidRPr="00B8487C" w:rsidRDefault="00B8487C" w:rsidP="00B8487C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ВПРОВАДЖЕННЯ ОСОБИСТІСНО-ОРІЄНТОВАНОЇ  ТЕХНОЛОГІЇ</w:t>
      </w:r>
    </w:p>
    <w:p w:rsidR="00B8487C" w:rsidRPr="00B8487C" w:rsidRDefault="00B8487C" w:rsidP="00B8487C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У ЗМІ</w:t>
      </w:r>
      <w:proofErr w:type="gramStart"/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СТ</w:t>
      </w:r>
      <w:proofErr w:type="gramEnd"/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 xml:space="preserve"> МАТЕМАТИЧНОЇ ОСВІТИ У ПРОФІЛЬНІЙ ШКОЛІ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 xml:space="preserve"> У статті розглянуто деякі форми організації процесу навчання математики у </w:t>
      </w:r>
      <w:proofErr w:type="gramStart"/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проф</w:t>
      </w:r>
      <w:proofErr w:type="gramEnd"/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ільних класах в умовах особистісно-орієнтованої математичної освіти. Надані  рекомендації  щодо необхідності та ефективності  поєднання фронтально</w:t>
      </w:r>
      <w:proofErr w:type="gramStart"/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ї,</w:t>
      </w:r>
      <w:proofErr w:type="gramEnd"/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групової  та  індивідуальної  форм  навчання.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Сучасний учитель повинен глибоко усвідомити, що важливою умовою ефективності педагогічного процесу є особистісно орієнтовані освітні технології, які враховують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ікові та індивідуально-психологічні особливості учнів.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Проф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ільна школа найповніше реалізує принцип особистісно орієнтованого навчання, що значно розширює можливості учня у виборі власної освітньої траєкторії.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З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2005-2006 н. р. наша школа обрала фізико-математичний профіль навчання.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Проф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іль навчання визначався з урахуванням потреб замовників освіти, кадрових, матеріально - технічних, соціальної структур регіону.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За шкільними партами (навіть у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проф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ільному класі) сидять учні з різними здібностями, тому основним критерієм роботи вчителя є вміння створити умови для зростання кожного. Педагогічний досвід допоміг вчителям нашої школи зробити вибі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: ми звернулися до технології  рівневого навчання. Головна мета технології тематичного поетапного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івневого навчання -  сприяти гарантованому досягненню кожним учнем особистісно доступного рівня (середнього, достатнього або високого) на основі прояву та розвитку його внутрішнього потенціалу. Технологія передбачає уведення двох стандартів: обов'язкової загальноосвітньої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ідготовки (базовий рівень обов'язкового мінімального засвоєння знань всіма школярами); підвищеної підготовки (додатковий рівень визначає глибину оволодіння змістом навчального предмета здібними та працелюбними учнями).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   Прості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між ними заповнюється діяльністю, що забезпечує поступове та різнорівневе опанування навчального матеріалу, вибудуваного на основі запланованих обов'язкових результатів навчання. Останні мають бути доведені до учнів завчасно, зрозумілі й доступні абсолютній більшості. Проходження базового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івня є передумовою навчання за додатковими, підвищеними стандартами. Навчальний процес здійснюється на індивідуальному та максимально посильному для учнів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івні.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Учень — головний суб’єкт навчання: тільки його власна, особистісно спрямована, спланована, усвідомлювана і самоконтрольована діяльність приводить до навчальних результатів — засвоєння математичних знань, вироблення навичок і умінь, змі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н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у  розумовому, особистісному потенціалі.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Функція учителя у навчанні — управління учінням, зокрема, самоучінням:</w:t>
      </w:r>
    </w:p>
    <w:p w:rsidR="00B8487C" w:rsidRPr="00B8487C" w:rsidRDefault="00B8487C" w:rsidP="00B8487C">
      <w:pPr>
        <w:numPr>
          <w:ilvl w:val="0"/>
          <w:numId w:val="1"/>
        </w:numPr>
        <w:spacing w:after="0" w:line="272" w:lineRule="atLeast"/>
        <w:ind w:left="340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організація учіння — створення умов для успішного учіння, самонавчання;</w:t>
      </w:r>
    </w:p>
    <w:p w:rsidR="00B8487C" w:rsidRPr="00B8487C" w:rsidRDefault="00B8487C" w:rsidP="00B8487C">
      <w:pPr>
        <w:numPr>
          <w:ilvl w:val="0"/>
          <w:numId w:val="1"/>
        </w:numPr>
        <w:spacing w:after="0" w:line="272" w:lineRule="atLeast"/>
        <w:ind w:left="340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керівництво учінням, самонавчанням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на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основ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 прикладів, зразків, настанов (викладів, пояснень, вказівок) і систем запитань, завдань, вправ;</w:t>
      </w:r>
    </w:p>
    <w:p w:rsidR="00B8487C" w:rsidRPr="00B8487C" w:rsidRDefault="00B8487C" w:rsidP="00B8487C">
      <w:pPr>
        <w:numPr>
          <w:ilvl w:val="0"/>
          <w:numId w:val="2"/>
        </w:numPr>
        <w:spacing w:after="0" w:line="272" w:lineRule="atLeast"/>
        <w:ind w:left="340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надання допомоги в учінні, самоучінні.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Для успішного здійснення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івневої диференціації необхідно виконання деяких умов.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  По-перше,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івні засвоєння навчального матеріалу повинні бути відкритими для учнів.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  Ще одна важлива умова - в навчанні повинна бути забезпечена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посл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ідовність у просуванні учня по рівням 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  І ще одна умова - добровільність у виборі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івня засвоєння.  Навчальний процес має дати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кожному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учневі можливість пройти, наскільки він може або хоче, всю схему засвоєння матеріалу.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Так, наприклад на етапі формування умінь ми впроваджуємо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івневі самостійні роботи, які дозволяють кожному учневі у зручному для себе темпі просуватися від рівня до рівня, а також адекватно оцінювати свої можливості.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івнева самостійна робота з алгебри, 11 клас:</w:t>
      </w:r>
      <w:r w:rsidRPr="00B8487C">
        <w:rPr>
          <w:rFonts w:ascii="Tahoma" w:eastAsia="Times New Roman" w:hAnsi="Tahoma" w:cs="Tahoma"/>
          <w:b/>
          <w:b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Показникові нерівності.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івень А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   1)3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8;  2) ;   3) 1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Б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  1)4· 0,25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2х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;  2) 2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х+2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-2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х+1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+2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х-1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-2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х-2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9;    3)3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2х+1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-28·3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+9 0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івень В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 1) (0,6)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х-3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·2 ;  2) 5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-2х-4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-5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-2х-5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-2·5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-2х-6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2·3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-2х-4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;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                     3) 3·16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+2·81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-5·36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х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0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На етапі контролю знань і умінь застосовуємо «релейні» роботи.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Ц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 роботи виправдовують свою назву за рахунок наявності трирівневого змісту завдань і надання учням права вибору рівня складності кожного завдання, зважаючи на свої знання і вміння.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«Релейна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»к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онтрольна робота з алгебри, 11 клас:</w:t>
      </w:r>
      <w:r w:rsidRPr="00B8487C">
        <w:rPr>
          <w:rFonts w:ascii="Tahoma" w:eastAsia="Times New Roman" w:hAnsi="Tahoma" w:cs="Tahoma"/>
          <w:b/>
          <w:b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Логарифмічна функція.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lastRenderedPageBreak/>
        <w:t>№1. Побудувати графік функції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А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(1б.)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Б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(1,5б.)                            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 </w:t>
      </w: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В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(2б.)    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№2. Знайти похідну функції: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А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(1б.)        а)    б)   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Б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(1,5б.)    а)    б) 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 </w:t>
      </w: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В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(2б.)     а)    б) 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№3.  Розв’язати логарифмічні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івняння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івень А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(2б.)  а) ; б) log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bscript"/>
        </w:rPr>
        <w:t>3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x+log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bscript"/>
        </w:rPr>
        <w:t>3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x -12=0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івень Б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(3б.) а) ; б) log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bscript"/>
        </w:rPr>
        <w:t>7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x-log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bscript"/>
        </w:rPr>
        <w:t>7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x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-3=0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івень В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(4б.)  а) ;  б)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br/>
        <w:t>№4 Розв’язати логарифмічні нерівності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івень А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(2б.)  а) ; б)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 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</w:t>
      </w:r>
      <w:proofErr w:type="gramEnd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івень Б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(3б.) а) ; б)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Рівень</w:t>
      </w:r>
      <w:proofErr w:type="gramStart"/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 xml:space="preserve"> В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(4б.) а) lg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</w:t>
      </w:r>
      <w:r w:rsidRPr="00B8487C">
        <w:rPr>
          <w:rFonts w:ascii="Tahoma" w:eastAsia="Times New Roman" w:hAnsi="Tahoma" w:cs="Tahoma"/>
          <w:color w:val="595858"/>
          <w:sz w:val="16"/>
          <w:vertAlign w:val="superscript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(100x) - 7lg x 8;  б</w:t>
      </w:r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)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Оскільки диференційоване навчання представляє форму внутрішньокласного поділу учнів на порівняно однакові за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івнем навчання групи , то для нас постала проблема організації роботи з кожною групою.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 ми звернулись до технологій групової навчальної діяльності учнів. Групову навчальну діяльність школярів можна застосовувати на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вс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іх етапах процесу навчання.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Проте я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вважаю, що для школярів найбільші можливості групової навчальної діяльності виявляються на етапах закріплення, узагальнення, систематизації знань.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Групова навчальна діяльність сприяє формуванню в учнів таких ключових компетентностей, як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соц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іальна, комунікативна, особистісна та самоосвітня. Розглянемо окремі способи здійснення групової форми навчання.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1-й спосіб.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Усі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м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функціонуючим у класі малим групам пропоную виконати одне й те саме завдання. Така робота завершується колективним обговоренням, вибором найоптимальнішого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ішення, найкраще сформульованої гіпотези.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ід час  такої роботи формуються соціальна компетентність, тому що учням потрібно робити вибір, приймати рішення; комунікативна компетентність ,тому що потрібно вміти спілкуватись і спілкуватись безконфліктно; особистісна компетентність, тому що учень має змогу оцінити власні сильні та слабкі сторони.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Фрагмент уроку алгебри 11 клас:  </w:t>
      </w: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Зростання і спадання функції.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Клас ділиться на групи по 5-6 чоловік в кожній. Групи виконують одне і те саме завдання. Кожна група висуває свою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г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іпотезу.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  <w:u w:val="single"/>
        </w:rPr>
        <w:t>Завдання </w:t>
      </w:r>
      <w:r w:rsidRPr="00B8487C">
        <w:rPr>
          <w:rFonts w:ascii="Tahoma" w:eastAsia="Times New Roman" w:hAnsi="Tahoma" w:cs="Tahoma"/>
          <w:color w:val="595858"/>
          <w:sz w:val="16"/>
          <w:u w:val="single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Проаналізуйте властивості функцій, графіки яких зображено на малюнках. Дайте відповідь на запитання і спробуйте сформулювати ознаки зростання і спадання функції.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1) Якою є функція в точці х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  <w:vertAlign w:val="subscript"/>
        </w:rPr>
        <w:t>0</w:t>
      </w:r>
      <w:proofErr w:type="gramEnd"/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(зростаюча, спадна)?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2) Сформулюйте геометричний змі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ст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похідної.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3) Яким є значення похідної функції у=f(х) в точці х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  <w:vertAlign w:val="subscript"/>
        </w:rPr>
        <w:t>0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?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4) Чи є зв'язок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між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значенням похідної і поведінкою функції? Який саме?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ісля роботи в групах учні обговорюють результати і формулюють достатні ознаки зростання і спадання функції, а також   визначають, як знайти проміжки зростання і спадання функції.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2-й спосіб.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ізним групам у класі пропоную виконати різні завдання. Це диференційована групова діяльність. В основу диференціації я покладаю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івень складності завдань.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ід час такої роботи у учнів вироблюється звичка мислити самостійно, вони вчаться переборювати труднощі, виховують в собі наполегливість, прагнення до нових знань. В результаті іде формування особистісної та комунікативної компетентностей.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Фрагмент уроку алгебри 11 клас:</w:t>
      </w:r>
      <w:r w:rsidRPr="00B8487C">
        <w:rPr>
          <w:rFonts w:ascii="Tahoma" w:eastAsia="Times New Roman" w:hAnsi="Tahoma" w:cs="Tahoma"/>
          <w:b/>
          <w:bCs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Застосування похідної до дослідження функцій</w:t>
      </w:r>
      <w:proofErr w:type="gramStart"/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.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У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чні об’єднуються в групи по 5-6 чоловік.  Кожна група отримує завдання: дослідити функцію і побудувати її графік.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  <w:u w:val="single"/>
        </w:rPr>
        <w:t>Група А.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f(x) = x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3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– 3x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</w:t>
      </w:r>
      <w:r w:rsidRPr="00B8487C">
        <w:rPr>
          <w:rFonts w:ascii="Tahoma" w:eastAsia="Times New Roman" w:hAnsi="Tahoma" w:cs="Tahoma"/>
          <w:color w:val="595858"/>
          <w:sz w:val="16"/>
          <w:vertAlign w:val="superscript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+ 2      </w:t>
      </w:r>
      <w:r w:rsidRPr="00B8487C">
        <w:rPr>
          <w:rFonts w:ascii="Tahoma" w:eastAsia="Times New Roman" w:hAnsi="Tahoma" w:cs="Tahoma"/>
          <w:color w:val="595858"/>
          <w:sz w:val="16"/>
          <w:szCs w:val="16"/>
          <w:u w:val="single"/>
        </w:rPr>
        <w:t> Група Б.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f(x) =       </w:t>
      </w:r>
      <w:r w:rsidRPr="00B8487C">
        <w:rPr>
          <w:rFonts w:ascii="Tahoma" w:eastAsia="Times New Roman" w:hAnsi="Tahoma" w:cs="Tahoma"/>
          <w:color w:val="595858"/>
          <w:sz w:val="16"/>
          <w:szCs w:val="16"/>
          <w:u w:val="single"/>
        </w:rPr>
        <w:t>Група В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   f(x) = 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 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ісля закінчення роботи представники кожної з груп виконують побудову графіка на дошці. Доповідач від кожної групи пропонує членам інших груп по графіку визначити властивості функції і звертає увагу класу на найважливіші, на його погляд, етапи дослідження.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3-й спосіб.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Кожна група працює над виконанням частини спільного для всього класу завдання. Вважаю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доц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ільним для цього виду  роботи створення гетерогенних груп. Працюючи в групі, слабкі учні збагачуються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новою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інформацією, мають можливість своєчасно одержати додаткове пояснення з незрозумілих питань. Завдяки контролю з боку сильних учнів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вони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допускають менше помилок. Середні учні оперативно з’ясовують незрозумілі питання, опановують ефективні способи 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lastRenderedPageBreak/>
        <w:t xml:space="preserve">розв’язування задач. Корисна така діяльність і сильним учням. Допомагаючи засвоювати навчальний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матер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іал товаришам по групі, вони перевіряють і зміцнюють свої знання. Така робота обов’язково завершується колективним обговоренням, представленням і захистом виконаних завдань. Головні висновки і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ідсумки такого обговорення стають надбанням усіх учнів класу і фіксуються письмово всіма учнями, присутніми на занятті. В результаті іде формування особистісної, самоосвітньої та комунікативної компетентностей.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i/>
          <w:iCs/>
          <w:color w:val="595858"/>
          <w:sz w:val="16"/>
        </w:rPr>
        <w:t>Фрагмент уроку алгебри 11 клас:  </w:t>
      </w: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Зростання і спадання функції.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Набуття навичок і вмінь визначати проміжки зростання і спадання функц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ії.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Кожна група працює над виконанням частини спільного для всього класу завдання.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  <w:u w:val="single"/>
        </w:rPr>
        <w:t>Завдання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. Визначити проміжки зростання і спадання функції: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2.1. у = х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3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– 27х;           2.2. у = х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3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- х</w:t>
      </w:r>
      <w:r w:rsidRPr="00B8487C">
        <w:rPr>
          <w:rFonts w:ascii="Tahoma" w:eastAsia="Times New Roman" w:hAnsi="Tahoma" w:cs="Tahoma"/>
          <w:color w:val="595858"/>
          <w:sz w:val="16"/>
          <w:szCs w:val="16"/>
          <w:vertAlign w:val="superscript"/>
        </w:rPr>
        <w:t>2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>+х – 5;            2.3. у =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.</w:t>
      </w:r>
      <w:proofErr w:type="gramEnd"/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Ця робота завершується представленням і захистом виконаних завдань.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4-й спосіб.</w:t>
      </w:r>
      <w:r w:rsidRPr="00B8487C">
        <w:rPr>
          <w:rFonts w:ascii="Tahoma" w:eastAsia="Times New Roman" w:hAnsi="Tahoma" w:cs="Tahoma"/>
          <w:color w:val="595858"/>
          <w:sz w:val="16"/>
        </w:rPr>
        <w:t> </w:t>
      </w: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Тут специфіка групової діяльності зумовлена чисельним складом груп – із двох осіб. Звідси і назва діяльності –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парна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навчальна діяльність. При такій роботі можна створювати гетерогенні пари типу „вчитель – учень” з метою допомоги більш слабкому учню оволодіти базовим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івнем знань. А можна створювати гомогенні пари типу „співробітник – співробітник” з метою формування умінь розв’язувати задачі середнього, достатнього або високого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івня.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ід час  такої роботи формуються комунікативна компетентність ,тому що потрібно вміти спілкуватись; особистісна компетентність, тому що учень має змогу оцінити власні сильні та слабкі сторони; самоосвітня компетентність, тому що учні узагальнюють і удосконалюють власні знання.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Групова форма роботи на уроках буде ефективнішою, якщо її поєднувати з іншими формами організації навчання. Правила такого поєднання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:</w:t>
      </w:r>
      <w:proofErr w:type="gramEnd"/>
    </w:p>
    <w:p w:rsidR="00B8487C" w:rsidRPr="00B8487C" w:rsidRDefault="00B8487C" w:rsidP="00B8487C">
      <w:pPr>
        <w:numPr>
          <w:ilvl w:val="0"/>
          <w:numId w:val="3"/>
        </w:numPr>
        <w:spacing w:after="0" w:line="272" w:lineRule="atLeast"/>
        <w:ind w:left="340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початкове вивчення теорії  здійснюється переважно через фронтальне навчання;</w:t>
      </w:r>
    </w:p>
    <w:p w:rsidR="00B8487C" w:rsidRPr="00B8487C" w:rsidRDefault="00B8487C" w:rsidP="00B8487C">
      <w:pPr>
        <w:numPr>
          <w:ilvl w:val="0"/>
          <w:numId w:val="3"/>
        </w:numPr>
        <w:spacing w:after="0" w:line="272" w:lineRule="atLeast"/>
        <w:ind w:left="340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вироблення, закріплення навичок, умінь здійснюється переважно через індивідуальну або групову форму навчання;</w:t>
      </w:r>
    </w:p>
    <w:p w:rsidR="00B8487C" w:rsidRPr="00B8487C" w:rsidRDefault="00B8487C" w:rsidP="00B8487C">
      <w:pPr>
        <w:numPr>
          <w:ilvl w:val="0"/>
          <w:numId w:val="3"/>
        </w:numPr>
        <w:spacing w:after="0" w:line="272" w:lineRule="atLeast"/>
        <w:ind w:left="340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дотримання на етапах відтворення і застосування теорії часового відношення 1:1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між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фронтальним способом навчання і індивідуальною самостійною практикою.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Наприкінці наведу слова видатного педагога Василя Олександровича Сухомлинського:</w:t>
      </w:r>
    </w:p>
    <w:p w:rsidR="00B8487C" w:rsidRPr="00B8487C" w:rsidRDefault="00B8487C" w:rsidP="00B8487C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«…Найдосвідченіший педагог ніколи не повинен спинятися на досягнутому, бо якщо немає руху вперед, то неминуче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починається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відставання».</w:t>
      </w:r>
    </w:p>
    <w:p w:rsidR="00B8487C" w:rsidRPr="00B8487C" w:rsidRDefault="00B8487C" w:rsidP="00B8487C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i/>
          <w:iCs/>
          <w:color w:val="595858"/>
          <w:sz w:val="16"/>
        </w:rPr>
        <w:t>Список використаних джерел</w:t>
      </w:r>
    </w:p>
    <w:p w:rsidR="00B8487C" w:rsidRPr="00B8487C" w:rsidRDefault="00B8487C" w:rsidP="00B8487C">
      <w:pPr>
        <w:numPr>
          <w:ilvl w:val="0"/>
          <w:numId w:val="4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Брейтигам Э.К. Обучение математике в личностно ориентированной модели образования // Педагогика. – 2000. - № 10. – С.45-48.</w:t>
      </w:r>
    </w:p>
    <w:p w:rsidR="00B8487C" w:rsidRPr="00B8487C" w:rsidRDefault="00B8487C" w:rsidP="00B8487C">
      <w:pPr>
        <w:numPr>
          <w:ilvl w:val="0"/>
          <w:numId w:val="4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Забранський В., Забранська Н. «Організація письмових самостійних та контрольних робіт при диференційованому навчанні математики», - «Математика в школі», №8,2006р. Забранський В. Організація письмових контрольних та самостійних робіт при диференційованому навчанні математики /  В. Забранський, Н. Забранська // Математика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школі. – 2000. – № 5. – С. 30 – 32.</w:t>
      </w:r>
    </w:p>
    <w:p w:rsidR="00B8487C" w:rsidRPr="00B8487C" w:rsidRDefault="00B8487C" w:rsidP="00B8487C">
      <w:pPr>
        <w:numPr>
          <w:ilvl w:val="0"/>
          <w:numId w:val="4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Капіносов А. М. Тематичне поетапне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івневе вивчення математики в  основній школі / А. М. Капіносов. – Кривий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>іг : Видавничий дім, 2005. – 112 с. </w:t>
      </w:r>
    </w:p>
    <w:p w:rsidR="00B8487C" w:rsidRPr="00B8487C" w:rsidRDefault="00B8487C" w:rsidP="00B8487C">
      <w:pPr>
        <w:numPr>
          <w:ilvl w:val="0"/>
          <w:numId w:val="4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Слєпкань З.І. Проблеми особистісно орієнтованої математичної освіти учнів середньої школи / З.І. Слєпкань // Математика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школі. – 2003. - №9. – С.3-4.</w:t>
      </w:r>
    </w:p>
    <w:p w:rsidR="00B8487C" w:rsidRPr="00B8487C" w:rsidRDefault="00B8487C" w:rsidP="00B8487C">
      <w:pPr>
        <w:numPr>
          <w:ilvl w:val="0"/>
          <w:numId w:val="4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Слєпкань З. Ще раз про диференціацію навчання математики і роль в ній освітнього стандарту  / З. Слєпкань // Математика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школі. – 2002, № 2. – С. 29 – 30.</w:t>
      </w:r>
    </w:p>
    <w:p w:rsidR="00B8487C" w:rsidRPr="00B8487C" w:rsidRDefault="00B8487C" w:rsidP="00B8487C">
      <w:pPr>
        <w:numPr>
          <w:ilvl w:val="0"/>
          <w:numId w:val="4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>Харіна Н.Ю. Інтерактивні методи роботи на уроках математики//Математика в школах України. – 2006. - № 6. – С.2-4.</w:t>
      </w:r>
    </w:p>
    <w:p w:rsidR="00B8487C" w:rsidRPr="00B8487C" w:rsidRDefault="00B8487C" w:rsidP="00B8487C">
      <w:pPr>
        <w:numPr>
          <w:ilvl w:val="0"/>
          <w:numId w:val="4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Хмара Т. Створюємо особистісно орієнтовану систему навчання математики // Математика </w:t>
      </w:r>
      <w:proofErr w:type="gramStart"/>
      <w:r w:rsidRPr="00B8487C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B8487C">
        <w:rPr>
          <w:rFonts w:ascii="Tahoma" w:eastAsia="Times New Roman" w:hAnsi="Tahoma" w:cs="Tahoma"/>
          <w:color w:val="595858"/>
          <w:sz w:val="16"/>
          <w:szCs w:val="16"/>
        </w:rPr>
        <w:t xml:space="preserve"> школі. – 2001. - № 5. – С.4.</w:t>
      </w:r>
    </w:p>
    <w:p w:rsidR="00286F6D" w:rsidRDefault="00286F6D"/>
    <w:sectPr w:rsidR="0028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7DD"/>
    <w:multiLevelType w:val="multilevel"/>
    <w:tmpl w:val="58E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05F8"/>
    <w:multiLevelType w:val="multilevel"/>
    <w:tmpl w:val="6DB4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169AB"/>
    <w:multiLevelType w:val="multilevel"/>
    <w:tmpl w:val="385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428D4"/>
    <w:multiLevelType w:val="multilevel"/>
    <w:tmpl w:val="D62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8487C"/>
    <w:rsid w:val="00286F6D"/>
    <w:rsid w:val="00B8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87C"/>
    <w:rPr>
      <w:i/>
      <w:iCs/>
    </w:rPr>
  </w:style>
  <w:style w:type="character" w:customStyle="1" w:styleId="apple-converted-space">
    <w:name w:val="apple-converted-space"/>
    <w:basedOn w:val="a0"/>
    <w:rsid w:val="00B8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10109</Characters>
  <Application>Microsoft Office Word</Application>
  <DocSecurity>0</DocSecurity>
  <Lines>84</Lines>
  <Paragraphs>23</Paragraphs>
  <ScaleCrop>false</ScaleCrop>
  <Company>Schoool70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2015-12-01T14:13:00Z</dcterms:created>
  <dcterms:modified xsi:type="dcterms:W3CDTF">2015-12-01T14:13:00Z</dcterms:modified>
</cp:coreProperties>
</file>